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49D4" w14:textId="77777777" w:rsidR="0067331C" w:rsidRDefault="0067331C" w:rsidP="007C5B27">
      <w:pPr>
        <w:jc w:val="both"/>
      </w:pPr>
    </w:p>
    <w:p w14:paraId="0893547F" w14:textId="7C3AA194" w:rsidR="00A663B1" w:rsidRDefault="00A663B1" w:rsidP="007C5B27">
      <w:pPr>
        <w:jc w:val="both"/>
      </w:pPr>
      <w:r>
        <w:t xml:space="preserve">La Politique de communication </w:t>
      </w:r>
      <w:r w:rsidR="00417840">
        <w:t xml:space="preserve">du Comité </w:t>
      </w:r>
      <w:r w:rsidR="002363F1">
        <w:t>p</w:t>
      </w:r>
      <w:r w:rsidR="00417840">
        <w:t xml:space="preserve">aritaire des </w:t>
      </w:r>
      <w:r w:rsidR="002363F1">
        <w:t>b</w:t>
      </w:r>
      <w:r w:rsidR="00417840">
        <w:t>oueurs de la région de Montréal donne</w:t>
      </w:r>
      <w:r>
        <w:t xml:space="preserve"> un cadre de référence et d'orientation pour toutes les actions de communication d</w:t>
      </w:r>
      <w:r w:rsidR="00417840">
        <w:t>u</w:t>
      </w:r>
      <w:r>
        <w:t xml:space="preserve"> </w:t>
      </w:r>
      <w:r w:rsidR="00417840">
        <w:t>Comité</w:t>
      </w:r>
      <w:r w:rsidR="002363F1">
        <w:t xml:space="preserve"> paritaire</w:t>
      </w:r>
      <w:r>
        <w:t xml:space="preserve">. </w:t>
      </w:r>
    </w:p>
    <w:p w14:paraId="3484D9D9" w14:textId="77777777" w:rsidR="002363F1" w:rsidRDefault="002363F1" w:rsidP="007C5B27">
      <w:pPr>
        <w:jc w:val="both"/>
      </w:pPr>
    </w:p>
    <w:p w14:paraId="171D3520" w14:textId="20B52778" w:rsidR="00417840" w:rsidRPr="007C5B27" w:rsidRDefault="00417840" w:rsidP="007C5B27">
      <w:pPr>
        <w:jc w:val="both"/>
        <w:rPr>
          <w:b/>
          <w:bCs/>
        </w:rPr>
      </w:pPr>
      <w:r w:rsidRPr="007C5B27">
        <w:rPr>
          <w:b/>
          <w:bCs/>
        </w:rPr>
        <w:t>1.</w:t>
      </w:r>
      <w:r w:rsidR="002363F1">
        <w:rPr>
          <w:b/>
          <w:bCs/>
        </w:rPr>
        <w:t>Champ d’application</w:t>
      </w:r>
    </w:p>
    <w:p w14:paraId="568BCDD0" w14:textId="6635FC61" w:rsidR="00A663B1" w:rsidRDefault="00A663B1" w:rsidP="007C5B27">
      <w:pPr>
        <w:jc w:val="both"/>
      </w:pPr>
      <w:r>
        <w:t>La politique de communication sert de cadre de référence dans les activités quotidiennes de communication</w:t>
      </w:r>
      <w:r w:rsidR="0067331C">
        <w:t xml:space="preserve"> et de diffusion de</w:t>
      </w:r>
      <w:r w:rsidR="002363F1">
        <w:t xml:space="preserve">s </w:t>
      </w:r>
      <w:r w:rsidR="0067331C">
        <w:t>informations</w:t>
      </w:r>
      <w:r>
        <w:t xml:space="preserve"> verbales et écrites. Elle encadre les communications dans les champs d'application suivants : </w:t>
      </w:r>
    </w:p>
    <w:p w14:paraId="7CF8F108" w14:textId="297EC640" w:rsidR="002363F1" w:rsidRDefault="00A663B1" w:rsidP="007C5B27">
      <w:pPr>
        <w:pStyle w:val="Paragraphedeliste"/>
        <w:numPr>
          <w:ilvl w:val="0"/>
          <w:numId w:val="15"/>
        </w:numPr>
        <w:jc w:val="both"/>
      </w:pPr>
      <w:r>
        <w:t xml:space="preserve">Les communications internes </w:t>
      </w:r>
    </w:p>
    <w:p w14:paraId="201D4548" w14:textId="7F88556B" w:rsidR="00A663B1" w:rsidRDefault="00A663B1" w:rsidP="002363F1">
      <w:pPr>
        <w:pStyle w:val="Paragraphedeliste"/>
        <w:numPr>
          <w:ilvl w:val="0"/>
          <w:numId w:val="15"/>
        </w:numPr>
        <w:jc w:val="both"/>
      </w:pPr>
      <w:r>
        <w:t xml:space="preserve">Les communications externes </w:t>
      </w:r>
    </w:p>
    <w:p w14:paraId="441F390E" w14:textId="77777777" w:rsidR="002363F1" w:rsidRDefault="002363F1" w:rsidP="007C5B27">
      <w:pPr>
        <w:pStyle w:val="Paragraphedeliste"/>
        <w:jc w:val="both"/>
      </w:pPr>
    </w:p>
    <w:p w14:paraId="1DF7A137" w14:textId="77777777" w:rsidR="00417840" w:rsidRPr="007C5B27" w:rsidRDefault="00A663B1" w:rsidP="007C5B27">
      <w:pPr>
        <w:jc w:val="both"/>
        <w:rPr>
          <w:b/>
          <w:bCs/>
        </w:rPr>
      </w:pPr>
      <w:r w:rsidRPr="007C5B27">
        <w:rPr>
          <w:b/>
          <w:bCs/>
        </w:rPr>
        <w:t>2. Objectifs généraux</w:t>
      </w:r>
      <w:r w:rsidR="00417840" w:rsidRPr="007C5B27">
        <w:rPr>
          <w:b/>
          <w:bCs/>
        </w:rPr>
        <w:t> :</w:t>
      </w:r>
      <w:r w:rsidRPr="007C5B27">
        <w:rPr>
          <w:b/>
          <w:bCs/>
        </w:rPr>
        <w:t xml:space="preserve"> </w:t>
      </w:r>
    </w:p>
    <w:p w14:paraId="7A88AEB5" w14:textId="28A484C4" w:rsidR="002363F1" w:rsidRDefault="0067331C" w:rsidP="007C5B27">
      <w:pPr>
        <w:pStyle w:val="Paragraphedeliste"/>
        <w:numPr>
          <w:ilvl w:val="0"/>
          <w:numId w:val="16"/>
        </w:numPr>
        <w:jc w:val="both"/>
      </w:pPr>
      <w:r>
        <w:t>Défini</w:t>
      </w:r>
      <w:r w:rsidR="002363F1">
        <w:t>r</w:t>
      </w:r>
      <w:r w:rsidR="00A663B1">
        <w:t xml:space="preserve"> une procédure permettant d'encadrer la diffusion de l'information </w:t>
      </w:r>
    </w:p>
    <w:p w14:paraId="15ACD690" w14:textId="14D77A93" w:rsidR="002363F1" w:rsidRDefault="00A663B1" w:rsidP="007C5B27">
      <w:pPr>
        <w:pStyle w:val="Paragraphedeliste"/>
        <w:numPr>
          <w:ilvl w:val="0"/>
          <w:numId w:val="16"/>
        </w:numPr>
        <w:jc w:val="both"/>
      </w:pPr>
      <w:r>
        <w:t xml:space="preserve">Identifier </w:t>
      </w:r>
      <w:r w:rsidR="00255E50">
        <w:t xml:space="preserve">les </w:t>
      </w:r>
      <w:r w:rsidR="0067331C">
        <w:t xml:space="preserve">rôles et </w:t>
      </w:r>
      <w:r w:rsidR="00255E50">
        <w:t xml:space="preserve">les </w:t>
      </w:r>
      <w:r w:rsidR="0067331C">
        <w:t xml:space="preserve">responsabilités </w:t>
      </w:r>
      <w:r>
        <w:t xml:space="preserve">en matière de communication </w:t>
      </w:r>
    </w:p>
    <w:p w14:paraId="21C4C86C" w14:textId="1578331F" w:rsidR="002363F1" w:rsidRDefault="00A663B1" w:rsidP="007C5B27">
      <w:pPr>
        <w:pStyle w:val="Paragraphedeliste"/>
        <w:numPr>
          <w:ilvl w:val="0"/>
          <w:numId w:val="16"/>
        </w:numPr>
        <w:jc w:val="both"/>
      </w:pPr>
      <w:r>
        <w:t xml:space="preserve">Projeter une image </w:t>
      </w:r>
      <w:r w:rsidR="0067331C">
        <w:t>positive</w:t>
      </w:r>
      <w:r>
        <w:t xml:space="preserve"> qui repose sur la responsabilité et la crédibilité </w:t>
      </w:r>
    </w:p>
    <w:p w14:paraId="1F76C9C8" w14:textId="2BB50E81" w:rsidR="00A663B1" w:rsidRDefault="00A663B1" w:rsidP="002363F1">
      <w:pPr>
        <w:pStyle w:val="Paragraphedeliste"/>
        <w:numPr>
          <w:ilvl w:val="0"/>
          <w:numId w:val="16"/>
        </w:numPr>
        <w:jc w:val="both"/>
      </w:pPr>
      <w:r>
        <w:t xml:space="preserve">Assurer une cohérence </w:t>
      </w:r>
      <w:r w:rsidR="0067331C">
        <w:t xml:space="preserve">lors des communications du </w:t>
      </w:r>
      <w:r w:rsidR="00255E50">
        <w:t>C</w:t>
      </w:r>
      <w:r w:rsidR="0067331C">
        <w:t>omité</w:t>
      </w:r>
      <w:r>
        <w:t xml:space="preserve"> </w:t>
      </w:r>
      <w:r w:rsidR="00255E50">
        <w:t>paritaire</w:t>
      </w:r>
    </w:p>
    <w:p w14:paraId="79BF04B6" w14:textId="77777777" w:rsidR="00255E50" w:rsidRDefault="00255E50" w:rsidP="007C5B27">
      <w:pPr>
        <w:pStyle w:val="Paragraphedeliste"/>
        <w:jc w:val="both"/>
      </w:pPr>
    </w:p>
    <w:p w14:paraId="523B507F" w14:textId="488C047C" w:rsidR="004A03EB" w:rsidRPr="007C5B27" w:rsidRDefault="00A663B1" w:rsidP="007C5B27">
      <w:pPr>
        <w:jc w:val="both"/>
        <w:rPr>
          <w:b/>
          <w:bCs/>
        </w:rPr>
      </w:pPr>
      <w:r w:rsidRPr="007C5B27">
        <w:rPr>
          <w:b/>
          <w:bCs/>
        </w:rPr>
        <w:t>3. Valeurs</w:t>
      </w:r>
      <w:r w:rsidR="00417840" w:rsidRPr="007C5B27">
        <w:rPr>
          <w:b/>
          <w:bCs/>
        </w:rPr>
        <w:t> :</w:t>
      </w:r>
      <w:r w:rsidRPr="007C5B27">
        <w:rPr>
          <w:b/>
          <w:bCs/>
        </w:rPr>
        <w:t xml:space="preserve"> </w:t>
      </w:r>
    </w:p>
    <w:p w14:paraId="75A0BE91" w14:textId="27816939" w:rsidR="00255E50" w:rsidRDefault="00A663B1" w:rsidP="007C5B27">
      <w:pPr>
        <w:pStyle w:val="Paragraphedeliste"/>
        <w:numPr>
          <w:ilvl w:val="0"/>
          <w:numId w:val="17"/>
        </w:numPr>
        <w:jc w:val="both"/>
      </w:pPr>
      <w:r>
        <w:t xml:space="preserve">La </w:t>
      </w:r>
      <w:r w:rsidR="0067331C">
        <w:t xml:space="preserve">diffusion </w:t>
      </w:r>
      <w:r>
        <w:t>de l’information doit être complète,</w:t>
      </w:r>
      <w:r w:rsidR="0067331C">
        <w:t xml:space="preserve"> intègre</w:t>
      </w:r>
      <w:r>
        <w:t xml:space="preserve"> et objective </w:t>
      </w:r>
    </w:p>
    <w:p w14:paraId="3326B4D4" w14:textId="04EB1105" w:rsidR="00255E50" w:rsidRDefault="00A663B1" w:rsidP="007C5B27">
      <w:pPr>
        <w:pStyle w:val="Paragraphedeliste"/>
        <w:numPr>
          <w:ilvl w:val="0"/>
          <w:numId w:val="17"/>
        </w:numPr>
        <w:jc w:val="both"/>
      </w:pPr>
      <w:r>
        <w:t xml:space="preserve">L’information diffusée doit être pertinente, accessible, livrée </w:t>
      </w:r>
      <w:r w:rsidR="0067331C">
        <w:t>rapidement</w:t>
      </w:r>
      <w:r>
        <w:t xml:space="preserve"> </w:t>
      </w:r>
      <w:r w:rsidR="004A03EB">
        <w:t>et adaptée</w:t>
      </w:r>
      <w:r>
        <w:t xml:space="preserve"> aux différents </w:t>
      </w:r>
      <w:r w:rsidR="0067331C">
        <w:t>types de clientèle</w:t>
      </w:r>
      <w:r>
        <w:t xml:space="preserve"> </w:t>
      </w:r>
    </w:p>
    <w:p w14:paraId="28C0798B" w14:textId="48F88F5C" w:rsidR="00A663B1" w:rsidRDefault="00A663B1" w:rsidP="007C5B27">
      <w:pPr>
        <w:pStyle w:val="Paragraphedeliste"/>
        <w:numPr>
          <w:ilvl w:val="0"/>
          <w:numId w:val="17"/>
        </w:numPr>
        <w:jc w:val="both"/>
      </w:pPr>
      <w:r>
        <w:t xml:space="preserve">L'information diffusée doit refléter les valeurs, les opinions et les besoins </w:t>
      </w:r>
      <w:r w:rsidR="00417840">
        <w:t>de la clientèle</w:t>
      </w:r>
    </w:p>
    <w:p w14:paraId="5035C28F" w14:textId="77777777" w:rsidR="00250CC8" w:rsidRDefault="00250CC8" w:rsidP="007C5B27">
      <w:pPr>
        <w:ind w:firstLine="708"/>
        <w:jc w:val="both"/>
      </w:pPr>
    </w:p>
    <w:p w14:paraId="6AE7B3BB" w14:textId="3A4F97B1" w:rsidR="0067331C" w:rsidRPr="007C5B27" w:rsidRDefault="00A663B1" w:rsidP="007C5B27">
      <w:pPr>
        <w:jc w:val="both"/>
        <w:rPr>
          <w:b/>
          <w:bCs/>
        </w:rPr>
      </w:pPr>
      <w:r w:rsidRPr="007C5B27">
        <w:rPr>
          <w:b/>
          <w:bCs/>
        </w:rPr>
        <w:t>4. Clientèles cibles</w:t>
      </w:r>
      <w:r w:rsidR="00417840" w:rsidRPr="007C5B27">
        <w:rPr>
          <w:b/>
          <w:bCs/>
        </w:rPr>
        <w:t>:</w:t>
      </w:r>
      <w:r w:rsidRPr="007C5B27">
        <w:rPr>
          <w:b/>
          <w:bCs/>
        </w:rPr>
        <w:t xml:space="preserve"> </w:t>
      </w:r>
    </w:p>
    <w:p w14:paraId="3829DF95" w14:textId="5CBA1C97" w:rsidR="00A663B1" w:rsidRDefault="00A663B1" w:rsidP="007C5B27">
      <w:pPr>
        <w:ind w:firstLine="708"/>
        <w:jc w:val="both"/>
      </w:pPr>
      <w:r>
        <w:t xml:space="preserve">4.1. Clientèles internes </w:t>
      </w:r>
    </w:p>
    <w:p w14:paraId="39732BF3" w14:textId="4EDBCF7B" w:rsidR="00A663B1" w:rsidRDefault="00A663B1" w:rsidP="007C5B27">
      <w:pPr>
        <w:pStyle w:val="Paragraphedeliste"/>
        <w:numPr>
          <w:ilvl w:val="0"/>
          <w:numId w:val="8"/>
        </w:numPr>
        <w:jc w:val="both"/>
      </w:pPr>
      <w:r>
        <w:t xml:space="preserve">Conseil d'administration </w:t>
      </w:r>
    </w:p>
    <w:p w14:paraId="32491FA4" w14:textId="447BD110" w:rsidR="00250CC8" w:rsidRDefault="00A663B1" w:rsidP="007C5B27">
      <w:pPr>
        <w:pStyle w:val="Paragraphedeliste"/>
        <w:numPr>
          <w:ilvl w:val="0"/>
          <w:numId w:val="8"/>
        </w:numPr>
        <w:jc w:val="both"/>
      </w:pPr>
      <w:r>
        <w:t xml:space="preserve">Direction et personnel </w:t>
      </w:r>
    </w:p>
    <w:p w14:paraId="6760E2C6" w14:textId="77777777" w:rsidR="00250CC8" w:rsidRDefault="00250CC8" w:rsidP="007C5B27">
      <w:pPr>
        <w:ind w:firstLine="708"/>
        <w:jc w:val="both"/>
      </w:pPr>
    </w:p>
    <w:p w14:paraId="131DF2DD" w14:textId="77777777" w:rsidR="00A663B1" w:rsidRDefault="00A663B1" w:rsidP="007C5B27">
      <w:pPr>
        <w:ind w:firstLine="708"/>
        <w:jc w:val="both"/>
      </w:pPr>
      <w:r>
        <w:t xml:space="preserve">4.2. Clientèles externes </w:t>
      </w:r>
    </w:p>
    <w:p w14:paraId="72C2F35E" w14:textId="77777777" w:rsidR="00A663B1" w:rsidRDefault="00466194" w:rsidP="007C5B27">
      <w:pPr>
        <w:pStyle w:val="Paragraphedeliste"/>
        <w:ind w:firstLine="696"/>
        <w:jc w:val="both"/>
      </w:pPr>
      <w:r>
        <w:t>-Salariés assujettis</w:t>
      </w:r>
    </w:p>
    <w:p w14:paraId="3BFF4261" w14:textId="6A6C74F3" w:rsidR="00A663B1" w:rsidRDefault="00466194" w:rsidP="007C5B27">
      <w:pPr>
        <w:ind w:left="708" w:firstLine="708"/>
        <w:jc w:val="both"/>
      </w:pPr>
      <w:r>
        <w:t>-Employeurs assujettis</w:t>
      </w:r>
    </w:p>
    <w:p w14:paraId="4AA24600" w14:textId="77777777" w:rsidR="00A663B1" w:rsidRDefault="00466194" w:rsidP="007C5B27">
      <w:pPr>
        <w:pStyle w:val="Paragraphedeliste"/>
        <w:ind w:firstLine="696"/>
        <w:jc w:val="both"/>
      </w:pPr>
      <w:r>
        <w:t>-Grand public</w:t>
      </w:r>
    </w:p>
    <w:p w14:paraId="1403836C" w14:textId="77777777" w:rsidR="004A03EB" w:rsidRDefault="004A03EB" w:rsidP="007C5B27">
      <w:pPr>
        <w:jc w:val="both"/>
      </w:pPr>
    </w:p>
    <w:p w14:paraId="773BFF40" w14:textId="684757E3" w:rsidR="00A663B1" w:rsidRPr="007C5B27" w:rsidRDefault="004A03EB" w:rsidP="007C5B27">
      <w:pPr>
        <w:jc w:val="both"/>
        <w:rPr>
          <w:b/>
          <w:bCs/>
        </w:rPr>
      </w:pPr>
      <w:r w:rsidRPr="007C5B27">
        <w:rPr>
          <w:b/>
          <w:bCs/>
        </w:rPr>
        <w:t>5.</w:t>
      </w:r>
      <w:r w:rsidR="00A663B1" w:rsidRPr="007C5B27">
        <w:rPr>
          <w:b/>
          <w:bCs/>
        </w:rPr>
        <w:t xml:space="preserve">Outils de communication </w:t>
      </w:r>
    </w:p>
    <w:p w14:paraId="53BC2E8A" w14:textId="32253A80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le</w:t>
      </w:r>
      <w:proofErr w:type="gramEnd"/>
      <w:r>
        <w:t xml:space="preserve"> site Web </w:t>
      </w:r>
    </w:p>
    <w:p w14:paraId="75523A5F" w14:textId="77777777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publications officielles </w:t>
      </w:r>
    </w:p>
    <w:p w14:paraId="6E965156" w14:textId="77777777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communiqués de presse </w:t>
      </w:r>
    </w:p>
    <w:p w14:paraId="17BB2FC7" w14:textId="77777777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publicités </w:t>
      </w:r>
    </w:p>
    <w:p w14:paraId="0324AF8D" w14:textId="77777777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l'affichage</w:t>
      </w:r>
      <w:proofErr w:type="gramEnd"/>
      <w:r>
        <w:t xml:space="preserve"> </w:t>
      </w:r>
    </w:p>
    <w:p w14:paraId="316F67ED" w14:textId="3BC48BB5" w:rsidR="00A663B1" w:rsidRDefault="00A663B1" w:rsidP="007C5B27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procès-verbaux </w:t>
      </w:r>
    </w:p>
    <w:p w14:paraId="7E306901" w14:textId="642D4B78" w:rsidR="00250CC8" w:rsidRDefault="00255E50" w:rsidP="007C5B27">
      <w:pPr>
        <w:pStyle w:val="Paragraphedeliste"/>
        <w:numPr>
          <w:ilvl w:val="0"/>
          <w:numId w:val="2"/>
        </w:numPr>
        <w:jc w:val="both"/>
      </w:pPr>
      <w:r>
        <w:t>Les r</w:t>
      </w:r>
      <w:r w:rsidR="00250CC8">
        <w:t xml:space="preserve">éseaux </w:t>
      </w:r>
      <w:r>
        <w:t>s</w:t>
      </w:r>
      <w:r w:rsidR="00250CC8">
        <w:t>ociaux</w:t>
      </w:r>
    </w:p>
    <w:p w14:paraId="19F2AF51" w14:textId="77777777" w:rsidR="00A663B1" w:rsidRDefault="00A663B1" w:rsidP="007C5B27">
      <w:pPr>
        <w:ind w:firstLine="708"/>
        <w:jc w:val="both"/>
      </w:pPr>
    </w:p>
    <w:p w14:paraId="0E3C7418" w14:textId="28D2AB1E" w:rsidR="00A663B1" w:rsidRPr="007C5B27" w:rsidRDefault="00A663B1" w:rsidP="007C5B27">
      <w:pPr>
        <w:jc w:val="both"/>
        <w:rPr>
          <w:b/>
          <w:bCs/>
        </w:rPr>
      </w:pPr>
      <w:r w:rsidRPr="007C5B27">
        <w:rPr>
          <w:b/>
          <w:bCs/>
        </w:rPr>
        <w:t xml:space="preserve">6. </w:t>
      </w:r>
      <w:r w:rsidR="00250CC8" w:rsidRPr="007C5B27">
        <w:rPr>
          <w:b/>
          <w:bCs/>
        </w:rPr>
        <w:t>L’identification et la validation de l’information</w:t>
      </w:r>
    </w:p>
    <w:p w14:paraId="403E8300" w14:textId="38B5273E" w:rsidR="00466194" w:rsidRDefault="00A663B1" w:rsidP="007C5B27">
      <w:pPr>
        <w:ind w:firstLine="708"/>
        <w:jc w:val="both"/>
      </w:pPr>
      <w:r>
        <w:t xml:space="preserve">6.1. Identification visuelle </w:t>
      </w:r>
      <w:r w:rsidR="00466194">
        <w:t xml:space="preserve">du Comité </w:t>
      </w:r>
      <w:r w:rsidR="00255E50">
        <w:t>p</w:t>
      </w:r>
      <w:r w:rsidR="00466194">
        <w:t>aritaire</w:t>
      </w:r>
      <w:r>
        <w:t xml:space="preserve"> est représentée par le logo suivant : </w:t>
      </w:r>
    </w:p>
    <w:p w14:paraId="39347F60" w14:textId="77777777" w:rsidR="00466194" w:rsidRDefault="00466194" w:rsidP="007C5B27">
      <w:pPr>
        <w:ind w:firstLine="708"/>
        <w:jc w:val="both"/>
      </w:pPr>
      <w:r>
        <w:rPr>
          <w:noProof/>
        </w:rPr>
        <w:drawing>
          <wp:inline distT="0" distB="0" distL="0" distR="0" wp14:anchorId="65E0E831" wp14:editId="00388B2D">
            <wp:extent cx="762000" cy="762000"/>
            <wp:effectExtent l="0" t="0" r="0" b="0"/>
            <wp:docPr id="1" name="Image 1" descr="Image result for comité paritaire des bou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té paritaire des bou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60B1" w14:textId="49F6FEFF" w:rsidR="00A663B1" w:rsidRDefault="00A663B1" w:rsidP="002363F1">
      <w:pPr>
        <w:ind w:left="708"/>
        <w:jc w:val="both"/>
      </w:pPr>
      <w:r>
        <w:t xml:space="preserve">Ce logo se retrouve sur toute la correspondance officielle </w:t>
      </w:r>
      <w:r w:rsidR="00466194">
        <w:t xml:space="preserve">du </w:t>
      </w:r>
      <w:r w:rsidR="0067331C">
        <w:t>Comité</w:t>
      </w:r>
      <w:r w:rsidR="00255E50">
        <w:t xml:space="preserve"> paritaire</w:t>
      </w:r>
      <w:r>
        <w:t xml:space="preserve"> de même que sur tous les documents qui y sont produits. </w:t>
      </w:r>
    </w:p>
    <w:p w14:paraId="23A15D4C" w14:textId="77777777" w:rsidR="00255E50" w:rsidRDefault="00255E50" w:rsidP="007C5B27">
      <w:pPr>
        <w:ind w:left="708"/>
        <w:jc w:val="both"/>
      </w:pPr>
    </w:p>
    <w:p w14:paraId="2B5BDFCB" w14:textId="18AF4E8A" w:rsidR="00250CC8" w:rsidRDefault="00250CC8" w:rsidP="007C5B27">
      <w:pPr>
        <w:ind w:left="708"/>
        <w:jc w:val="both"/>
      </w:pPr>
      <w:r>
        <w:t>6.2 Avant d’être diffusé</w:t>
      </w:r>
      <w:r w:rsidR="00255E50">
        <w:t>e</w:t>
      </w:r>
      <w:r>
        <w:t xml:space="preserve"> dans les canaux de communication, l’information sera validée par la Direction </w:t>
      </w:r>
      <w:r w:rsidR="00491699">
        <w:t xml:space="preserve">générale </w:t>
      </w:r>
      <w:r>
        <w:t>ou le Conseil d’administration au besoin.</w:t>
      </w:r>
    </w:p>
    <w:p w14:paraId="4685C9F3" w14:textId="77777777" w:rsidR="00F84788" w:rsidRDefault="00F84788" w:rsidP="007C5B27">
      <w:pPr>
        <w:ind w:left="1416"/>
        <w:jc w:val="both"/>
      </w:pPr>
    </w:p>
    <w:p w14:paraId="2D6AB8BD" w14:textId="77777777" w:rsidR="0067331C" w:rsidRPr="007C5B27" w:rsidRDefault="00A663B1" w:rsidP="007C5B27">
      <w:pPr>
        <w:jc w:val="both"/>
        <w:rPr>
          <w:b/>
          <w:bCs/>
        </w:rPr>
      </w:pPr>
      <w:r w:rsidRPr="007C5B27">
        <w:rPr>
          <w:b/>
          <w:bCs/>
        </w:rPr>
        <w:t>7</w:t>
      </w:r>
      <w:r w:rsidR="0067331C" w:rsidRPr="007C5B27">
        <w:rPr>
          <w:b/>
          <w:bCs/>
        </w:rPr>
        <w:t xml:space="preserve">. </w:t>
      </w:r>
      <w:r w:rsidRPr="007C5B27">
        <w:rPr>
          <w:b/>
          <w:bCs/>
        </w:rPr>
        <w:t xml:space="preserve"> Entrée en vigueur </w:t>
      </w:r>
    </w:p>
    <w:p w14:paraId="15A13E54" w14:textId="66823CFE" w:rsidR="00C47690" w:rsidRDefault="00A663B1" w:rsidP="007C5B27">
      <w:pPr>
        <w:jc w:val="both"/>
      </w:pPr>
      <w:r>
        <w:t>Cette politique entre en vigueur au moment de son adoption par le conseil d’administration.</w:t>
      </w:r>
    </w:p>
    <w:sectPr w:rsidR="00C4769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1A80" w14:textId="77777777" w:rsidR="00C30120" w:rsidRDefault="00C30120" w:rsidP="00466194">
      <w:pPr>
        <w:spacing w:after="0" w:line="240" w:lineRule="auto"/>
      </w:pPr>
      <w:r>
        <w:separator/>
      </w:r>
    </w:p>
  </w:endnote>
  <w:endnote w:type="continuationSeparator" w:id="0">
    <w:p w14:paraId="30678547" w14:textId="77777777" w:rsidR="00C30120" w:rsidRDefault="00C30120" w:rsidP="004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4515" w14:textId="77777777" w:rsidR="00C30120" w:rsidRDefault="00C30120" w:rsidP="00466194">
      <w:pPr>
        <w:spacing w:after="0" w:line="240" w:lineRule="auto"/>
      </w:pPr>
      <w:r>
        <w:separator/>
      </w:r>
    </w:p>
  </w:footnote>
  <w:footnote w:type="continuationSeparator" w:id="0">
    <w:p w14:paraId="348AD23A" w14:textId="77777777" w:rsidR="00C30120" w:rsidRDefault="00C30120" w:rsidP="004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0704" w14:textId="77777777" w:rsidR="00466194" w:rsidRDefault="00466194">
    <w:pPr>
      <w:pStyle w:val="En-tte"/>
    </w:pPr>
    <w:r>
      <w:rPr>
        <w:noProof/>
      </w:rPr>
      <w:drawing>
        <wp:inline distT="0" distB="0" distL="0" distR="0" wp14:anchorId="5FDE423B" wp14:editId="6C9FBD54">
          <wp:extent cx="762000" cy="762000"/>
          <wp:effectExtent l="0" t="0" r="0" b="0"/>
          <wp:docPr id="2" name="Image 2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9B4"/>
    <w:multiLevelType w:val="hybridMultilevel"/>
    <w:tmpl w:val="76DEC1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5E30E3E4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B39"/>
    <w:multiLevelType w:val="hybridMultilevel"/>
    <w:tmpl w:val="91165F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577"/>
    <w:multiLevelType w:val="hybridMultilevel"/>
    <w:tmpl w:val="DA5CB69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C648B"/>
    <w:multiLevelType w:val="hybridMultilevel"/>
    <w:tmpl w:val="E9AE73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077B"/>
    <w:multiLevelType w:val="hybridMultilevel"/>
    <w:tmpl w:val="3D9CD9EC"/>
    <w:lvl w:ilvl="0" w:tplc="5E30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796"/>
    <w:multiLevelType w:val="hybridMultilevel"/>
    <w:tmpl w:val="F412F7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D3757"/>
    <w:multiLevelType w:val="hybridMultilevel"/>
    <w:tmpl w:val="76900E7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FB7560"/>
    <w:multiLevelType w:val="hybridMultilevel"/>
    <w:tmpl w:val="7DE66CF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FD5911"/>
    <w:multiLevelType w:val="hybridMultilevel"/>
    <w:tmpl w:val="51908FD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4F52"/>
    <w:multiLevelType w:val="hybridMultilevel"/>
    <w:tmpl w:val="83EEBA9E"/>
    <w:lvl w:ilvl="0" w:tplc="5E30E3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14C"/>
    <w:multiLevelType w:val="hybridMultilevel"/>
    <w:tmpl w:val="96F01702"/>
    <w:lvl w:ilvl="0" w:tplc="5E30E3E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490D3A"/>
    <w:multiLevelType w:val="hybridMultilevel"/>
    <w:tmpl w:val="4B36B81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54361AD"/>
    <w:multiLevelType w:val="hybridMultilevel"/>
    <w:tmpl w:val="4950D5C6"/>
    <w:lvl w:ilvl="0" w:tplc="5E30E3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36685E"/>
    <w:multiLevelType w:val="hybridMultilevel"/>
    <w:tmpl w:val="6DDC2AC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6099"/>
    <w:multiLevelType w:val="hybridMultilevel"/>
    <w:tmpl w:val="106095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E9C"/>
    <w:multiLevelType w:val="hybridMultilevel"/>
    <w:tmpl w:val="F5881D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204"/>
    <w:multiLevelType w:val="hybridMultilevel"/>
    <w:tmpl w:val="8B442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B1"/>
    <w:rsid w:val="00121948"/>
    <w:rsid w:val="002363F1"/>
    <w:rsid w:val="00250CC8"/>
    <w:rsid w:val="00255E50"/>
    <w:rsid w:val="00417840"/>
    <w:rsid w:val="00466194"/>
    <w:rsid w:val="00491699"/>
    <w:rsid w:val="004A03EB"/>
    <w:rsid w:val="00625F6F"/>
    <w:rsid w:val="0067331C"/>
    <w:rsid w:val="007B6DB0"/>
    <w:rsid w:val="007C5B27"/>
    <w:rsid w:val="008E04FE"/>
    <w:rsid w:val="00A242A0"/>
    <w:rsid w:val="00A663B1"/>
    <w:rsid w:val="00C30120"/>
    <w:rsid w:val="00C47690"/>
    <w:rsid w:val="00E91CAF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648E"/>
  <w15:chartTrackingRefBased/>
  <w15:docId w15:val="{B6E1817F-339B-48EB-9524-A5F0496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8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6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194"/>
  </w:style>
  <w:style w:type="paragraph" w:styleId="Pieddepage">
    <w:name w:val="footer"/>
    <w:basedOn w:val="Normal"/>
    <w:link w:val="PieddepageCar"/>
    <w:uiPriority w:val="99"/>
    <w:unhideWhenUsed/>
    <w:rsid w:val="00466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83D46-2D37-402F-94BB-668696F424DC}"/>
</file>

<file path=customXml/itemProps2.xml><?xml version="1.0" encoding="utf-8"?>
<ds:datastoreItem xmlns:ds="http://schemas.openxmlformats.org/officeDocument/2006/customXml" ds:itemID="{FF18FCF3-FFEE-4B8C-B6F5-29C1ED6C9D18}"/>
</file>

<file path=customXml/itemProps3.xml><?xml version="1.0" encoding="utf-8"?>
<ds:datastoreItem xmlns:ds="http://schemas.openxmlformats.org/officeDocument/2006/customXml" ds:itemID="{5019D850-3659-4656-8F31-4C09C3581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6</cp:revision>
  <cp:lastPrinted>2020-03-11T13:02:00Z</cp:lastPrinted>
  <dcterms:created xsi:type="dcterms:W3CDTF">2020-12-10T17:39:00Z</dcterms:created>
  <dcterms:modified xsi:type="dcterms:W3CDTF">2020-12-14T15:40:00Z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e0292d48-4610-4c3f-a390-17a97d89f13c</vt:lpwstr>
  </property>
  <property fmtid="{D5CDD505-2E9C-101B-9397-08002B2CF9AE}" pid="3" name="ContentTypeId">
    <vt:lpwstr>0x010100C801081D19FC614B9729CB778FBD4289</vt:lpwstr>
  </property>
</Properties>
</file>